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银行询证函（格式一）</w:t>
      </w:r>
    </w:p>
    <w:p>
      <w:pPr>
        <w:widowControl w:val="0"/>
        <w:spacing w:after="160" w:line="440" w:lineRule="exact"/>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160" w:line="440" w:lineRule="exact"/>
        <w:ind w:right="420"/>
        <w:jc w:val="both"/>
        <w:rPr>
          <w:rFonts w:ascii="仿宋_GB2312" w:hAnsi="仿宋_GB2312" w:eastAsia="仿宋_GB2312" w:cs="仿宋_GB2312"/>
          <w:kern w:val="2"/>
          <w:sz w:val="24"/>
          <w:szCs w:val="24"/>
        </w:rPr>
      </w:pPr>
      <w:bookmarkStart w:id="0" w:name="_GoBack"/>
      <w:bookmarkEnd w:id="0"/>
    </w:p>
    <w:p>
      <w:pPr>
        <w:widowControl w:val="0"/>
        <w:spacing w:after="16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××（银行）××（分支机构，如适用）（以下简称“贵行”，即“函证收件人”）：</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本公司聘请的[××会计师事务所]正在对本公司[</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年度（或期间）]的财务报表进行审计，按照[中国注册会计师审计准则][</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]的要求，应当询证本公司与贵行相关的信息。下列第</w:t>
      </w:r>
      <w:r>
        <w:rPr>
          <w:rFonts w:hint="eastAsia" w:ascii="宋体" w:hAnsi="宋体" w:eastAsia="宋体" w:cs="宋体"/>
          <w:kern w:val="2"/>
          <w:sz w:val="24"/>
          <w:szCs w:val="24"/>
        </w:rPr>
        <w:t>1-14</w:t>
      </w:r>
      <w:r>
        <w:rPr>
          <w:rFonts w:hint="eastAsia" w:ascii="仿宋_GB2312" w:hAnsi="仿宋_GB2312" w:eastAsia="仿宋_GB2312" w:cs="仿宋_GB2312"/>
          <w:kern w:val="2"/>
          <w:sz w:val="24"/>
          <w:szCs w:val="24"/>
        </w:rPr>
        <w:t>项及附表（如适用）信息出自本公司的记录：</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宋体" w:hAnsi="宋体" w:eastAsia="宋体" w:cs="宋体"/>
          <w:kern w:val="2"/>
          <w:sz w:val="24"/>
          <w:szCs w:val="24"/>
        </w:rPr>
        <w:t>（1）</w:t>
      </w:r>
      <w:r>
        <w:rPr>
          <w:rFonts w:hint="eastAsia" w:ascii="仿宋_GB2312" w:hAnsi="仿宋_GB2312" w:eastAsia="仿宋_GB2312" w:cs="仿宋_GB2312"/>
          <w:kern w:val="2"/>
          <w:sz w:val="24"/>
          <w:szCs w:val="24"/>
        </w:rPr>
        <w:t>如与贵行记录相符，请在本函“结论”部分[签字和签章]或[签发电子签名]</w:t>
      </w:r>
      <w:r>
        <w:rPr>
          <w:rFonts w:hint="eastAsia" w:ascii="仿宋_GB2312" w:hAnsi="仿宋_GB2312" w:eastAsia="仿宋_GB2312" w:cs="仿宋_GB2312"/>
          <w:kern w:val="2"/>
          <w:sz w:val="24"/>
          <w:szCs w:val="24"/>
          <w:vertAlign w:val="superscript"/>
        </w:rPr>
        <w:footnoteReference w:id="0"/>
      </w:r>
      <w:r>
        <w:rPr>
          <w:rFonts w:hint="eastAsia" w:ascii="仿宋_GB2312" w:hAnsi="仿宋_GB2312" w:eastAsia="仿宋_GB2312" w:cs="仿宋_GB2312"/>
          <w:kern w:val="2"/>
          <w:sz w:val="24"/>
          <w:szCs w:val="24"/>
        </w:rPr>
        <w:t>；</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宋体" w:hAnsi="宋体" w:eastAsia="宋体" w:cs="宋体"/>
          <w:kern w:val="2"/>
          <w:sz w:val="24"/>
          <w:szCs w:val="24"/>
        </w:rPr>
        <w:t>（2）</w:t>
      </w:r>
      <w:r>
        <w:rPr>
          <w:rFonts w:hint="eastAsia" w:ascii="仿宋_GB2312" w:hAnsi="仿宋_GB2312" w:eastAsia="仿宋_GB2312" w:cs="仿宋_GB2312"/>
          <w:kern w:val="2"/>
          <w:sz w:val="24"/>
          <w:szCs w:val="24"/>
        </w:rPr>
        <w:t>如有不符，请在本函“结论”部分列明不符项目及具体内容，并[签字和签章]或[签发电子签名]。</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本公司谨授权贵行将回函直接寄至××会计师事务所[或直接转交××会计师事务所函证经办人</w:t>
      </w:r>
      <w:r>
        <w:rPr>
          <w:rFonts w:hint="eastAsia" w:ascii="仿宋_GB2312" w:hAnsi="仿宋_GB2312" w:eastAsia="仿宋_GB2312" w:cs="仿宋_GB2312"/>
          <w:kern w:val="2"/>
          <w:sz w:val="24"/>
          <w:szCs w:val="24"/>
          <w:vertAlign w:val="superscript"/>
        </w:rPr>
        <w:footnoteReference w:id="1"/>
      </w:r>
      <w:r>
        <w:rPr>
          <w:rFonts w:hint="eastAsia" w:ascii="仿宋_GB2312" w:hAnsi="仿宋_GB2312" w:eastAsia="仿宋_GB2312" w:cs="仿宋_GB2312"/>
          <w:kern w:val="2"/>
          <w:sz w:val="24"/>
          <w:szCs w:val="24"/>
        </w:rPr>
        <w:t>]，地址及联系方式</w:t>
      </w:r>
      <w:r>
        <w:rPr>
          <w:rFonts w:hint="eastAsia" w:ascii="仿宋_GB2312" w:hAnsi="仿宋_GB2312" w:eastAsia="仿宋_GB2312" w:cs="仿宋_GB2312"/>
          <w:kern w:val="2"/>
          <w:sz w:val="24"/>
          <w:szCs w:val="24"/>
          <w:vertAlign w:val="superscript"/>
        </w:rPr>
        <w:footnoteReference w:id="2"/>
      </w:r>
      <w:r>
        <w:rPr>
          <w:rFonts w:hint="eastAsia" w:ascii="仿宋_GB2312" w:hAnsi="仿宋_GB2312" w:eastAsia="仿宋_GB2312" w:cs="仿宋_GB2312"/>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电子邮箱：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本公司谨授权贵行可从本公司××账戶支取办理本询证函回函服务的费用（如适用）。</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截至[</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月</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日]（即“函证基准日”），本公司与贵行相关的信息</w:t>
      </w:r>
      <w:r>
        <w:rPr>
          <w:rStyle w:val="5"/>
          <w:rFonts w:hint="eastAsia" w:ascii="仿宋_GB2312" w:hAnsi="仿宋_GB2312" w:eastAsia="仿宋_GB2312" w:cs="仿宋_GB2312"/>
          <w:kern w:val="2"/>
          <w:sz w:val="24"/>
          <w:szCs w:val="24"/>
        </w:rPr>
        <w:footnoteReference w:id="3"/>
      </w:r>
      <w:r>
        <w:rPr>
          <w:rFonts w:hint="eastAsia" w:ascii="仿宋_GB2312" w:hAnsi="仿宋_GB2312" w:eastAsia="仿宋_GB2312" w:cs="仿宋_GB2312"/>
          <w:kern w:val="2"/>
          <w:sz w:val="24"/>
          <w:szCs w:val="24"/>
        </w:rPr>
        <w:t>列示如下：</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银行存款</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98"/>
        <w:gridCol w:w="498"/>
        <w:gridCol w:w="497"/>
        <w:gridCol w:w="639"/>
        <w:gridCol w:w="639"/>
        <w:gridCol w:w="2059"/>
        <w:gridCol w:w="639"/>
        <w:gridCol w:w="426"/>
        <w:gridCol w:w="163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账户类型</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账户余额</w:t>
            </w:r>
          </w:p>
        </w:tc>
        <w:tc>
          <w:tcPr>
            <w:tcW w:w="20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是否属于资金归集（资金池或其他资金管理）账户</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起始日期</w:t>
            </w:r>
          </w:p>
        </w:tc>
        <w:tc>
          <w:tcPr>
            <w:tcW w:w="4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终</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期</w:t>
            </w: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是否存在冻结、担保或其他使用限制</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（如是，请注明）</w:t>
            </w: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3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05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26" w:type="dxa"/>
          </w:tcPr>
          <w:p>
            <w:pPr>
              <w:widowControl w:val="0"/>
              <w:spacing w:after="0" w:line="360" w:lineRule="auto"/>
              <w:jc w:val="center"/>
              <w:rPr>
                <w:rFonts w:ascii="仿宋_GB2312" w:hAnsi="仿宋_GB2312" w:eastAsia="仿宋_GB2312" w:cs="仿宋_GB2312"/>
                <w:kern w:val="2"/>
                <w:sz w:val="21"/>
                <w:szCs w:val="21"/>
              </w:rPr>
            </w:pP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3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05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26" w:type="dxa"/>
          </w:tcPr>
          <w:p>
            <w:pPr>
              <w:widowControl w:val="0"/>
              <w:spacing w:after="0" w:line="360" w:lineRule="auto"/>
              <w:jc w:val="center"/>
              <w:rPr>
                <w:rFonts w:ascii="仿宋_GB2312" w:hAnsi="仿宋_GB2312" w:eastAsia="仿宋_GB2312" w:cs="仿宋_GB2312"/>
                <w:kern w:val="2"/>
                <w:sz w:val="21"/>
                <w:szCs w:val="21"/>
              </w:rPr>
            </w:pP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highlight w:val="yellow"/>
        </w:rPr>
      </w:pPr>
      <w:r>
        <w:rPr>
          <w:rFonts w:hint="eastAsia" w:ascii="仿宋_GB2312" w:hAnsi="仿宋_GB2312" w:eastAsia="仿宋_GB2312" w:cs="仿宋_GB2312"/>
          <w:kern w:val="2"/>
          <w:sz w:val="21"/>
          <w:szCs w:val="21"/>
          <w:highlight w:val="yellow"/>
        </w:rPr>
        <w:t>除上述列示的银行存款（包括余额为零的存款账户）外，本公司并无在贵行的其他存款。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银行借款</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6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担保人</w:t>
            </w: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4" w:type="dxa"/>
          </w:tcPr>
          <w:p>
            <w:pPr>
              <w:widowControl w:val="0"/>
              <w:spacing w:after="0" w:line="360" w:lineRule="auto"/>
              <w:jc w:val="center"/>
              <w:rPr>
                <w:rFonts w:ascii="仿宋_GB2312" w:hAnsi="仿宋_GB2312" w:eastAsia="仿宋_GB2312" w:cs="仿宋_GB2312"/>
                <w:kern w:val="2"/>
                <w:sz w:val="21"/>
                <w:szCs w:val="21"/>
              </w:rPr>
            </w:pP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4" w:type="dxa"/>
          </w:tcPr>
          <w:p>
            <w:pPr>
              <w:widowControl w:val="0"/>
              <w:spacing w:after="0" w:line="360" w:lineRule="auto"/>
              <w:jc w:val="center"/>
              <w:rPr>
                <w:rFonts w:ascii="仿宋_GB2312" w:hAnsi="仿宋_GB2312" w:eastAsia="仿宋_GB2312" w:cs="仿宋_GB2312"/>
                <w:kern w:val="2"/>
                <w:sz w:val="21"/>
                <w:szCs w:val="21"/>
              </w:rPr>
            </w:pP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highlight w:val="yellow"/>
        </w:rPr>
      </w:pPr>
      <w:r>
        <w:rPr>
          <w:rFonts w:hint="eastAsia" w:ascii="仿宋_GB2312" w:hAnsi="仿宋_GB2312" w:eastAsia="仿宋_GB2312" w:cs="仿宋_GB2312"/>
          <w:kern w:val="2"/>
          <w:sz w:val="21"/>
          <w:szCs w:val="21"/>
          <w:highlight w:val="yellow"/>
        </w:rPr>
        <w:t>除上述列示的银行借款外，本公司并无自贵行的其他借款。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3．</w:t>
      </w:r>
      <w:r>
        <w:rPr>
          <w:rFonts w:hint="eastAsia" w:ascii="仿宋_GB2312" w:hAnsi="仿宋_GB2312" w:eastAsia="仿宋_GB2312" w:cs="仿宋_GB2312"/>
          <w:kern w:val="2"/>
          <w:sz w:val="21"/>
          <w:szCs w:val="21"/>
        </w:rPr>
        <w:t>自</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日起至</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日期间内注销的银行存款账户</w:t>
      </w:r>
    </w:p>
    <w:tbl>
      <w:tblPr>
        <w:tblStyle w:val="6"/>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653"/>
        <w:gridCol w:w="1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账户名称</w:t>
            </w: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银行账号</w:t>
            </w: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    种</w:t>
            </w: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除上述列示的注销账户外，本公司在此期间并未在贵行注销其他账户。</w:t>
      </w:r>
    </w:p>
    <w:p>
      <w:pPr>
        <w:spacing w:after="160" w:line="259"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4．</w:t>
      </w:r>
      <w:r>
        <w:rPr>
          <w:rFonts w:hint="eastAsia" w:ascii="仿宋_GB2312" w:hAnsi="仿宋_GB2312" w:eastAsia="仿宋_GB2312" w:cs="仿宋_GB2312"/>
          <w:kern w:val="2"/>
          <w:sz w:val="21"/>
          <w:szCs w:val="21"/>
        </w:rPr>
        <w:t>本公司作为委托人的委托贷款</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93"/>
        <w:gridCol w:w="1126"/>
        <w:gridCol w:w="709"/>
        <w:gridCol w:w="1000"/>
        <w:gridCol w:w="985"/>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借入方</w:t>
            </w: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98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5"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5"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除上述列示的委托贷款外，本公司并无通过贵行办理的其他以本公司作为委托人的委托贷款。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5．</w:t>
      </w:r>
      <w:r>
        <w:rPr>
          <w:rFonts w:hint="eastAsia" w:ascii="仿宋_GB2312" w:hAnsi="仿宋_GB2312" w:eastAsia="仿宋_GB2312" w:cs="仿宋_GB2312"/>
          <w:kern w:val="2"/>
          <w:sz w:val="21"/>
          <w:szCs w:val="21"/>
        </w:rPr>
        <w:t>本公司作为借款人的委托贷款</w:t>
      </w:r>
    </w:p>
    <w:tbl>
      <w:tblPr>
        <w:tblStyle w:val="6"/>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37"/>
        <w:gridCol w:w="992"/>
        <w:gridCol w:w="709"/>
        <w:gridCol w:w="851"/>
        <w:gridCol w:w="1134"/>
        <w:gridCol w:w="155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借出方</w:t>
            </w: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13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34"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34"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除上述列示的委托贷款外，本公司并无通过贵行办理的其他以本公司作为借款人的委托贷款。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6．</w:t>
      </w:r>
      <w:r>
        <w:rPr>
          <w:rFonts w:hint="eastAsia" w:ascii="仿宋_GB2312" w:hAnsi="仿宋_GB2312" w:eastAsia="仿宋_GB2312" w:cs="仿宋_GB2312"/>
          <w:kern w:val="2"/>
          <w:sz w:val="21"/>
          <w:szCs w:val="21"/>
        </w:rPr>
        <w:t>担保</w:t>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本公司为其他单位提供的、以贵行为担保受益人的担保</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ind w:left="59"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方式</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565" w:type="dxa"/>
          </w:tcPr>
          <w:p>
            <w:pPr>
              <w:widowControl w:val="0"/>
              <w:spacing w:after="0" w:line="360" w:lineRule="auto"/>
              <w:jc w:val="center"/>
              <w:rPr>
                <w:rFonts w:ascii="仿宋_GB2312" w:hAnsi="仿宋_GB2312" w:eastAsia="仿宋_GB2312" w:cs="仿宋_GB2312"/>
                <w:kern w:val="2"/>
                <w:sz w:val="21"/>
                <w:szCs w:val="21"/>
              </w:rPr>
            </w:pP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565" w:type="dxa"/>
          </w:tcPr>
          <w:p>
            <w:pPr>
              <w:widowControl w:val="0"/>
              <w:spacing w:after="0" w:line="360" w:lineRule="auto"/>
              <w:jc w:val="center"/>
              <w:rPr>
                <w:rFonts w:ascii="仿宋_GB2312" w:hAnsi="仿宋_GB2312" w:eastAsia="仿宋_GB2312" w:cs="仿宋_GB2312"/>
                <w:kern w:val="2"/>
                <w:sz w:val="21"/>
                <w:szCs w:val="21"/>
              </w:rPr>
            </w:pP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除上述列示的担保外，本公司并无其他以贵行为担保受益人的担保。</w:t>
      </w:r>
    </w:p>
    <w:p>
      <w:pPr>
        <w:spacing w:after="160" w:line="259"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贵行向本公司提供的担保（如保函业务、备用信用证业务等）</w:t>
      </w:r>
    </w:p>
    <w:tbl>
      <w:tblPr>
        <w:tblStyle w:val="6"/>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59"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担保方式</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除上述列示的担保外，本公司并无贵行提供的其他担保。</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7．</w:t>
      </w:r>
      <w:r>
        <w:rPr>
          <w:rFonts w:hint="eastAsia" w:ascii="仿宋_GB2312" w:hAnsi="仿宋_GB2312" w:eastAsia="仿宋_GB2312" w:cs="仿宋_GB2312"/>
          <w:kern w:val="2"/>
          <w:sz w:val="21"/>
          <w:szCs w:val="21"/>
        </w:rPr>
        <w:t>本公司为出票人且由贵行承兑而尚未支付的银行承兑汇票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638"/>
        <w:gridCol w:w="770"/>
        <w:gridCol w:w="845"/>
        <w:gridCol w:w="937"/>
        <w:gridCol w:w="8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银行承兑汇票号码</w:t>
            </w:r>
          </w:p>
        </w:tc>
        <w:tc>
          <w:tcPr>
            <w:tcW w:w="1638"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结算账户账号</w:t>
            </w:r>
          </w:p>
        </w:tc>
        <w:tc>
          <w:tcPr>
            <w:tcW w:w="770"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45"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937"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91"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49"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p>
        </w:tc>
        <w:tc>
          <w:tcPr>
            <w:tcW w:w="1638"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845" w:type="dxa"/>
          </w:tcPr>
          <w:p>
            <w:pPr>
              <w:widowControl w:val="0"/>
              <w:spacing w:after="0" w:line="360" w:lineRule="auto"/>
              <w:jc w:val="center"/>
              <w:rPr>
                <w:rFonts w:ascii="仿宋_GB2312" w:hAnsi="仿宋_GB2312" w:eastAsia="仿宋_GB2312" w:cs="仿宋_GB2312"/>
                <w:kern w:val="2"/>
                <w:sz w:val="21"/>
                <w:szCs w:val="21"/>
              </w:rPr>
            </w:pPr>
          </w:p>
        </w:tc>
        <w:tc>
          <w:tcPr>
            <w:tcW w:w="937" w:type="dxa"/>
          </w:tcPr>
          <w:p>
            <w:pPr>
              <w:widowControl w:val="0"/>
              <w:spacing w:after="0" w:line="360" w:lineRule="auto"/>
              <w:jc w:val="center"/>
              <w:rPr>
                <w:rFonts w:ascii="仿宋_GB2312" w:hAnsi="仿宋_GB2312" w:eastAsia="仿宋_GB2312" w:cs="仿宋_GB2312"/>
                <w:kern w:val="2"/>
                <w:sz w:val="21"/>
                <w:szCs w:val="21"/>
              </w:rPr>
            </w:pPr>
          </w:p>
        </w:tc>
        <w:tc>
          <w:tcPr>
            <w:tcW w:w="891" w:type="dxa"/>
          </w:tcPr>
          <w:p>
            <w:pPr>
              <w:widowControl w:val="0"/>
              <w:spacing w:after="0" w:line="360" w:lineRule="auto"/>
              <w:jc w:val="center"/>
              <w:rPr>
                <w:rFonts w:ascii="仿宋_GB2312" w:hAnsi="仿宋_GB2312" w:eastAsia="仿宋_GB2312" w:cs="仿宋_GB2312"/>
                <w:kern w:val="2"/>
                <w:sz w:val="21"/>
                <w:szCs w:val="21"/>
              </w:rPr>
            </w:pPr>
          </w:p>
        </w:tc>
        <w:tc>
          <w:tcPr>
            <w:tcW w:w="1449"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p>
        </w:tc>
        <w:tc>
          <w:tcPr>
            <w:tcW w:w="1638"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845" w:type="dxa"/>
          </w:tcPr>
          <w:p>
            <w:pPr>
              <w:widowControl w:val="0"/>
              <w:spacing w:after="0" w:line="360" w:lineRule="auto"/>
              <w:jc w:val="center"/>
              <w:rPr>
                <w:rFonts w:ascii="仿宋_GB2312" w:hAnsi="仿宋_GB2312" w:eastAsia="仿宋_GB2312" w:cs="仿宋_GB2312"/>
                <w:kern w:val="2"/>
                <w:sz w:val="21"/>
                <w:szCs w:val="21"/>
              </w:rPr>
            </w:pPr>
          </w:p>
        </w:tc>
        <w:tc>
          <w:tcPr>
            <w:tcW w:w="937" w:type="dxa"/>
          </w:tcPr>
          <w:p>
            <w:pPr>
              <w:widowControl w:val="0"/>
              <w:spacing w:after="0" w:line="360" w:lineRule="auto"/>
              <w:jc w:val="center"/>
              <w:rPr>
                <w:rFonts w:ascii="仿宋_GB2312" w:hAnsi="仿宋_GB2312" w:eastAsia="仿宋_GB2312" w:cs="仿宋_GB2312"/>
                <w:kern w:val="2"/>
                <w:sz w:val="21"/>
                <w:szCs w:val="21"/>
              </w:rPr>
            </w:pPr>
          </w:p>
        </w:tc>
        <w:tc>
          <w:tcPr>
            <w:tcW w:w="891" w:type="dxa"/>
          </w:tcPr>
          <w:p>
            <w:pPr>
              <w:widowControl w:val="0"/>
              <w:spacing w:after="0" w:line="360" w:lineRule="auto"/>
              <w:jc w:val="center"/>
              <w:rPr>
                <w:rFonts w:ascii="仿宋_GB2312" w:hAnsi="仿宋_GB2312" w:eastAsia="仿宋_GB2312" w:cs="仿宋_GB2312"/>
                <w:kern w:val="2"/>
                <w:sz w:val="21"/>
                <w:szCs w:val="21"/>
              </w:rPr>
            </w:pPr>
          </w:p>
        </w:tc>
        <w:tc>
          <w:tcPr>
            <w:tcW w:w="1449"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除上述列示的银行承兑汇票外，本公司并无由贵行承兑而尚未支付的其他银行承兑汇票。</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8．</w:t>
      </w:r>
      <w:r>
        <w:rPr>
          <w:rFonts w:hint="eastAsia" w:ascii="仿宋_GB2312" w:hAnsi="仿宋_GB2312" w:eastAsia="仿宋_GB2312" w:cs="仿宋_GB2312"/>
          <w:kern w:val="2"/>
          <w:sz w:val="21"/>
          <w:szCs w:val="21"/>
        </w:rPr>
        <w:t>本公司向贵行已贴现而尚未到期的商业汇票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777"/>
        <w:gridCol w:w="777"/>
        <w:gridCol w:w="1033"/>
        <w:gridCol w:w="1031"/>
        <w:gridCol w:w="1031"/>
        <w:gridCol w:w="103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票号码</w:t>
            </w: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贴现率</w:t>
            </w: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7" w:type="dxa"/>
          </w:tcPr>
          <w:p>
            <w:pPr>
              <w:widowControl w:val="0"/>
              <w:spacing w:after="0" w:line="360" w:lineRule="auto"/>
              <w:jc w:val="center"/>
              <w:rPr>
                <w:rFonts w:ascii="仿宋_GB2312" w:hAnsi="仿宋_GB2312" w:eastAsia="仿宋_GB2312" w:cs="仿宋_GB2312"/>
                <w:kern w:val="2"/>
                <w:sz w:val="21"/>
                <w:szCs w:val="21"/>
              </w:rPr>
            </w:pP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7" w:type="dxa"/>
          </w:tcPr>
          <w:p>
            <w:pPr>
              <w:widowControl w:val="0"/>
              <w:spacing w:after="0" w:line="360" w:lineRule="auto"/>
              <w:jc w:val="center"/>
              <w:rPr>
                <w:rFonts w:ascii="仿宋_GB2312" w:hAnsi="仿宋_GB2312" w:eastAsia="仿宋_GB2312" w:cs="仿宋_GB2312"/>
                <w:kern w:val="2"/>
                <w:sz w:val="21"/>
                <w:szCs w:val="21"/>
              </w:rPr>
            </w:pP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除上述列示的商业汇票外，本公司并无向贵行已贴现而尚未到期的其他商业汇票。</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r>
        <w:rPr>
          <w:rFonts w:hint="eastAsia" w:ascii="宋体" w:hAnsi="宋体" w:eastAsia="宋体" w:cs="宋体"/>
          <w:kern w:val="2"/>
          <w:sz w:val="21"/>
          <w:szCs w:val="21"/>
        </w:rPr>
        <w:t>9．</w:t>
      </w:r>
      <w:r>
        <w:rPr>
          <w:rFonts w:hint="eastAsia" w:ascii="仿宋_GB2312" w:hAnsi="仿宋_GB2312" w:eastAsia="仿宋_GB2312" w:cs="仿宋_GB2312"/>
          <w:kern w:val="2"/>
          <w:sz w:val="21"/>
          <w:szCs w:val="21"/>
        </w:rPr>
        <w:t>本公司为持票人且由贵行托收的商业汇票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商业汇票</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承兑人名称</w:t>
            </w:r>
          </w:p>
        </w:tc>
        <w:tc>
          <w:tcPr>
            <w:tcW w:w="1420" w:type="dxa"/>
            <w:vAlign w:val="center"/>
          </w:tcPr>
          <w:p>
            <w:pPr>
              <w:widowControl w:val="0"/>
              <w:spacing w:after="0" w:line="48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除上述列示的商业汇票外，本公司并无由贵行托收的其他商业汇票。</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10．</w:t>
      </w:r>
      <w:r>
        <w:rPr>
          <w:rFonts w:hint="eastAsia" w:ascii="仿宋_GB2312" w:hAnsi="仿宋_GB2312" w:eastAsia="仿宋_GB2312" w:cs="仿宋_GB2312"/>
          <w:kern w:val="2"/>
          <w:sz w:val="21"/>
          <w:szCs w:val="21"/>
        </w:rPr>
        <w:t>本公司为申请人，由贵行开具的、未履行完毕的不可撤销信用证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信用证号码</w:t>
            </w:r>
          </w:p>
        </w:tc>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受益人</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信用证金额</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除上述列示的不可撤销信用证外，本公司并无由贵行开具的、未履行完毕的其他不可撤销信用证。</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11．</w:t>
      </w:r>
      <w:r>
        <w:rPr>
          <w:rFonts w:hint="eastAsia" w:ascii="仿宋_GB2312" w:hAnsi="仿宋_GB2312" w:eastAsia="仿宋_GB2312" w:cs="仿宋_GB2312"/>
          <w:kern w:val="2"/>
          <w:sz w:val="21"/>
          <w:szCs w:val="21"/>
        </w:rPr>
        <w:t>本公司与贵行之间未履行完毕的外汇买卖合约</w:t>
      </w:r>
    </w:p>
    <w:tbl>
      <w:tblPr>
        <w:tblStyle w:val="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1"/>
        <w:gridCol w:w="961"/>
        <w:gridCol w:w="1986"/>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类    别</w:t>
            </w:r>
          </w:p>
        </w:tc>
        <w:tc>
          <w:tcPr>
            <w:tcW w:w="115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961"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贵行卖出币种</w:t>
            </w:r>
          </w:p>
        </w:tc>
        <w:tc>
          <w:tcPr>
            <w:tcW w:w="9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贵行买入币种 </w:t>
            </w:r>
          </w:p>
        </w:tc>
        <w:tc>
          <w:tcPr>
            <w:tcW w:w="19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未履行的</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合约买卖金额</w:t>
            </w:r>
          </w:p>
        </w:tc>
        <w:tc>
          <w:tcPr>
            <w:tcW w:w="7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汇率</w:t>
            </w:r>
          </w:p>
        </w:tc>
        <w:tc>
          <w:tcPr>
            <w:tcW w:w="111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114"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114"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除上述列示的外汇买卖合约外，本公司并无与贵行之间未履行完毕的其他外汇买卖合约。</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12．</w:t>
      </w:r>
      <w:r>
        <w:rPr>
          <w:rFonts w:hint="eastAsia" w:ascii="仿宋_GB2312" w:hAnsi="仿宋_GB2312" w:eastAsia="仿宋_GB2312" w:cs="仿宋_GB2312"/>
          <w:kern w:val="2"/>
          <w:sz w:val="21"/>
          <w:szCs w:val="21"/>
        </w:rPr>
        <w:t>本公司存放于贵行托管的证券或其他产权文件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05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证券或</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其他产权文件名称</w:t>
            </w:r>
          </w:p>
        </w:tc>
        <w:tc>
          <w:tcPr>
            <w:tcW w:w="176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证券代码或产权文件编号</w:t>
            </w:r>
          </w:p>
        </w:tc>
        <w:tc>
          <w:tcPr>
            <w:tcW w:w="14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tc>
        <w:tc>
          <w:tcPr>
            <w:tcW w:w="146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2058" w:type="dxa"/>
          </w:tcPr>
          <w:p>
            <w:pPr>
              <w:widowControl w:val="0"/>
              <w:spacing w:after="0" w:line="360" w:lineRule="auto"/>
              <w:jc w:val="center"/>
              <w:rPr>
                <w:rFonts w:ascii="仿宋_GB2312" w:hAnsi="仿宋_GB2312" w:eastAsia="仿宋_GB2312" w:cs="仿宋_GB2312"/>
                <w:kern w:val="2"/>
                <w:sz w:val="21"/>
                <w:szCs w:val="21"/>
              </w:rPr>
            </w:pPr>
          </w:p>
        </w:tc>
        <w:tc>
          <w:tcPr>
            <w:tcW w:w="1763" w:type="dxa"/>
          </w:tcPr>
          <w:p>
            <w:pPr>
              <w:widowControl w:val="0"/>
              <w:spacing w:after="0" w:line="360" w:lineRule="auto"/>
              <w:jc w:val="center"/>
              <w:rPr>
                <w:rFonts w:ascii="仿宋_GB2312" w:hAnsi="仿宋_GB2312" w:eastAsia="仿宋_GB2312" w:cs="仿宋_GB2312"/>
                <w:kern w:val="2"/>
                <w:sz w:val="21"/>
                <w:szCs w:val="21"/>
              </w:rPr>
            </w:pPr>
          </w:p>
        </w:tc>
        <w:tc>
          <w:tcPr>
            <w:tcW w:w="1470" w:type="dxa"/>
          </w:tcPr>
          <w:p>
            <w:pPr>
              <w:widowControl w:val="0"/>
              <w:spacing w:after="0" w:line="360" w:lineRule="auto"/>
              <w:jc w:val="center"/>
              <w:rPr>
                <w:rFonts w:ascii="仿宋_GB2312" w:hAnsi="仿宋_GB2312" w:eastAsia="仿宋_GB2312" w:cs="仿宋_GB2312"/>
                <w:kern w:val="2"/>
                <w:sz w:val="21"/>
                <w:szCs w:val="21"/>
              </w:rPr>
            </w:pPr>
          </w:p>
        </w:tc>
        <w:tc>
          <w:tcPr>
            <w:tcW w:w="1469" w:type="dxa"/>
          </w:tcPr>
          <w:p>
            <w:pPr>
              <w:widowControl w:val="0"/>
              <w:spacing w:after="0" w:line="360" w:lineRule="auto"/>
              <w:jc w:val="center"/>
              <w:rPr>
                <w:rFonts w:ascii="仿宋_GB2312" w:hAnsi="仿宋_GB2312" w:eastAsia="仿宋_GB2312" w:cs="仿宋_GB2312"/>
                <w:kern w:val="2"/>
                <w:sz w:val="21"/>
                <w:szCs w:val="21"/>
              </w:rPr>
            </w:pPr>
          </w:p>
        </w:tc>
        <w:tc>
          <w:tcPr>
            <w:tcW w:w="1762"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2058" w:type="dxa"/>
          </w:tcPr>
          <w:p>
            <w:pPr>
              <w:widowControl w:val="0"/>
              <w:spacing w:after="0" w:line="360" w:lineRule="auto"/>
              <w:jc w:val="center"/>
              <w:rPr>
                <w:rFonts w:ascii="仿宋_GB2312" w:hAnsi="仿宋_GB2312" w:eastAsia="仿宋_GB2312" w:cs="仿宋_GB2312"/>
                <w:kern w:val="2"/>
                <w:sz w:val="21"/>
                <w:szCs w:val="21"/>
              </w:rPr>
            </w:pPr>
          </w:p>
        </w:tc>
        <w:tc>
          <w:tcPr>
            <w:tcW w:w="1763" w:type="dxa"/>
          </w:tcPr>
          <w:p>
            <w:pPr>
              <w:widowControl w:val="0"/>
              <w:spacing w:after="0" w:line="360" w:lineRule="auto"/>
              <w:jc w:val="center"/>
              <w:rPr>
                <w:rFonts w:ascii="仿宋_GB2312" w:hAnsi="仿宋_GB2312" w:eastAsia="仿宋_GB2312" w:cs="仿宋_GB2312"/>
                <w:kern w:val="2"/>
                <w:sz w:val="21"/>
                <w:szCs w:val="21"/>
              </w:rPr>
            </w:pPr>
          </w:p>
        </w:tc>
        <w:tc>
          <w:tcPr>
            <w:tcW w:w="1470" w:type="dxa"/>
          </w:tcPr>
          <w:p>
            <w:pPr>
              <w:widowControl w:val="0"/>
              <w:spacing w:after="0" w:line="360" w:lineRule="auto"/>
              <w:jc w:val="center"/>
              <w:rPr>
                <w:rFonts w:ascii="仿宋_GB2312" w:hAnsi="仿宋_GB2312" w:eastAsia="仿宋_GB2312" w:cs="仿宋_GB2312"/>
                <w:kern w:val="2"/>
                <w:sz w:val="21"/>
                <w:szCs w:val="21"/>
              </w:rPr>
            </w:pPr>
          </w:p>
        </w:tc>
        <w:tc>
          <w:tcPr>
            <w:tcW w:w="1469" w:type="dxa"/>
          </w:tcPr>
          <w:p>
            <w:pPr>
              <w:widowControl w:val="0"/>
              <w:spacing w:after="0" w:line="360" w:lineRule="auto"/>
              <w:jc w:val="center"/>
              <w:rPr>
                <w:rFonts w:ascii="仿宋_GB2312" w:hAnsi="仿宋_GB2312" w:eastAsia="仿宋_GB2312" w:cs="仿宋_GB2312"/>
                <w:kern w:val="2"/>
                <w:sz w:val="21"/>
                <w:szCs w:val="21"/>
              </w:rPr>
            </w:pPr>
          </w:p>
        </w:tc>
        <w:tc>
          <w:tcPr>
            <w:tcW w:w="1762"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除上述列示的证券或其他产权文件外，本公司并无存放于贵行托管的其他证券或其他产权文件。</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 xml:space="preserve">13. </w:t>
      </w:r>
      <w:r>
        <w:rPr>
          <w:rFonts w:hint="eastAsia" w:ascii="仿宋_GB2312" w:hAnsi="仿宋_GB2312" w:eastAsia="仿宋_GB2312" w:cs="仿宋_GB2312"/>
          <w:kern w:val="2"/>
          <w:sz w:val="21"/>
          <w:szCs w:val="21"/>
        </w:rPr>
        <w:t>本公司购买的由贵行发行的未到期银行理财产品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66"/>
        <w:gridCol w:w="869"/>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blHeader/>
        </w:trPr>
        <w:tc>
          <w:tcPr>
            <w:tcW w:w="9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tc>
        <w:tc>
          <w:tcPr>
            <w:tcW w:w="13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产品类型（封闭式/开放式）</w:t>
            </w:r>
          </w:p>
        </w:tc>
        <w:tc>
          <w:tcPr>
            <w:tcW w:w="86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持有份额</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产品净值</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购买日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62" w:type="dxa"/>
          </w:tcPr>
          <w:p>
            <w:pPr>
              <w:widowControl w:val="0"/>
              <w:spacing w:after="0" w:line="360" w:lineRule="auto"/>
              <w:jc w:val="center"/>
              <w:rPr>
                <w:rFonts w:ascii="仿宋_GB2312" w:hAnsi="仿宋_GB2312" w:eastAsia="仿宋_GB2312" w:cs="仿宋_GB2312"/>
                <w:kern w:val="2"/>
                <w:sz w:val="21"/>
                <w:szCs w:val="21"/>
              </w:rPr>
            </w:pPr>
          </w:p>
        </w:tc>
        <w:tc>
          <w:tcPr>
            <w:tcW w:w="1366" w:type="dxa"/>
          </w:tcPr>
          <w:p>
            <w:pPr>
              <w:widowControl w:val="0"/>
              <w:spacing w:after="0" w:line="360" w:lineRule="auto"/>
              <w:jc w:val="center"/>
              <w:rPr>
                <w:rFonts w:ascii="仿宋_GB2312" w:hAnsi="仿宋_GB2312" w:eastAsia="仿宋_GB2312" w:cs="仿宋_GB2312"/>
                <w:kern w:val="2"/>
                <w:sz w:val="21"/>
                <w:szCs w:val="21"/>
              </w:rPr>
            </w:pPr>
          </w:p>
        </w:tc>
        <w:tc>
          <w:tcPr>
            <w:tcW w:w="869"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62" w:type="dxa"/>
          </w:tcPr>
          <w:p>
            <w:pPr>
              <w:widowControl w:val="0"/>
              <w:spacing w:after="0" w:line="360" w:lineRule="auto"/>
              <w:jc w:val="center"/>
              <w:rPr>
                <w:rFonts w:ascii="仿宋_GB2312" w:hAnsi="仿宋_GB2312" w:eastAsia="仿宋_GB2312" w:cs="仿宋_GB2312"/>
                <w:kern w:val="2"/>
                <w:sz w:val="21"/>
                <w:szCs w:val="21"/>
              </w:rPr>
            </w:pPr>
          </w:p>
        </w:tc>
        <w:tc>
          <w:tcPr>
            <w:tcW w:w="1366" w:type="dxa"/>
          </w:tcPr>
          <w:p>
            <w:pPr>
              <w:widowControl w:val="0"/>
              <w:spacing w:after="0" w:line="360" w:lineRule="auto"/>
              <w:jc w:val="center"/>
              <w:rPr>
                <w:rFonts w:ascii="仿宋_GB2312" w:hAnsi="仿宋_GB2312" w:eastAsia="仿宋_GB2312" w:cs="仿宋_GB2312"/>
                <w:kern w:val="2"/>
                <w:sz w:val="21"/>
                <w:szCs w:val="21"/>
              </w:rPr>
            </w:pPr>
          </w:p>
        </w:tc>
        <w:tc>
          <w:tcPr>
            <w:tcW w:w="869"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除上述列示的银行理财产品外，本公司并未购买其他由贵行发行的理财产品。</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14．</w:t>
      </w:r>
      <w:r>
        <w:rPr>
          <w:rFonts w:hint="eastAsia" w:ascii="仿宋_GB2312" w:hAnsi="仿宋_GB2312" w:eastAsia="仿宋_GB2312" w:cs="仿宋_GB2312"/>
          <w:kern w:val="2"/>
          <w:sz w:val="21"/>
          <w:szCs w:val="21"/>
        </w:rPr>
        <w:t>其他</w:t>
      </w:r>
    </w:p>
    <w:tbl>
      <w:tblPr>
        <w:tblStyle w:val="6"/>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420" w:type="dxa"/>
          </w:tcPr>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tc>
      </w:tr>
    </w:tbl>
    <w:p>
      <w:pPr>
        <w:spacing w:after="160" w:line="259" w:lineRule="auto"/>
        <w:rPr>
          <w:rFonts w:ascii="仿宋_GB2312" w:hAnsi="仿宋_GB2312" w:eastAsia="仿宋_GB2312" w:cs="仿宋_GB2312"/>
          <w:b/>
          <w:kern w:val="2"/>
          <w:sz w:val="21"/>
          <w:szCs w:val="21"/>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hint="eastAsia" w:ascii="仿宋_GB2312" w:hAnsi="仿宋_GB2312" w:eastAsia="仿宋_GB2312" w:cs="仿宋_GB2312"/>
          <w:b/>
          <w:kern w:val="2"/>
          <w:sz w:val="21"/>
          <w:szCs w:val="21"/>
          <w:u w:val="single"/>
        </w:rPr>
      </w:pPr>
    </w:p>
    <w:p>
      <w:pPr>
        <w:widowControl w:val="0"/>
        <w:spacing w:after="160" w:line="360" w:lineRule="auto"/>
        <w:ind w:firstLine="422"/>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w:t>
      </w:r>
      <w:r>
        <w:rPr>
          <w:rFonts w:hint="eastAsia" w:ascii="仿宋_GB2312" w:hAnsi="仿宋_GB2312" w:eastAsia="仿宋_GB2312" w:cs="仿宋_GB2312"/>
          <w:b/>
          <w:kern w:val="2"/>
          <w:sz w:val="21"/>
          <w:szCs w:val="21"/>
        </w:rPr>
        <w:t>以下由被询证银行填列</w:t>
      </w:r>
      <w:r>
        <w:rPr>
          <w:rFonts w:hint="eastAsia" w:ascii="仿宋_GB2312" w:hAnsi="仿宋_GB2312" w:eastAsia="仿宋_GB2312" w:cs="仿宋_GB2312"/>
          <w:b/>
          <w:kern w:val="2"/>
          <w:sz w:val="21"/>
          <w:szCs w:val="21"/>
          <w:u w:val="single"/>
        </w:rPr>
        <w:t xml:space="preserve">                                                                                                              </w:t>
      </w:r>
    </w:p>
    <w:p>
      <w:pPr>
        <w:widowControl w:val="0"/>
        <w:spacing w:after="160" w:line="360" w:lineRule="auto"/>
        <w:ind w:firstLine="422" w:firstLineChars="200"/>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结论：</w:t>
      </w:r>
    </w:p>
    <w:tbl>
      <w:tblPr>
        <w:tblStyle w:val="6"/>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rPr>
        <w:tc>
          <w:tcPr>
            <w:tcW w:w="8612" w:type="dxa"/>
          </w:tcPr>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经本行核对，所函证项目与本行记载信息相符。特此函复。</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1343" w:firstLineChars="637"/>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16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16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8612" w:type="dxa"/>
          </w:tcPr>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经本行核对，存在以下不符之处。</w:t>
            </w:r>
          </w:p>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1552" w:firstLineChars="736"/>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widowControl w:val="0"/>
              <w:autoSpaceDE w:val="0"/>
              <w:autoSpaceDN w:val="0"/>
              <w:adjustRightInd w:val="0"/>
              <w:spacing w:after="160" w:line="500" w:lineRule="exact"/>
              <w:ind w:firstLine="105" w:firstLineChars="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   </w:t>
            </w:r>
          </w:p>
        </w:tc>
      </w:tr>
    </w:tbl>
    <w:p>
      <w:pPr>
        <w:tabs>
          <w:tab w:val="left" w:pos="1890"/>
        </w:tabs>
        <w:spacing w:after="0" w:line="240" w:lineRule="auto"/>
        <w:rPr>
          <w:rFonts w:ascii="仿宋_GB2312" w:hAnsi="仿宋_GB2312" w:eastAsia="仿宋_GB2312" w:cs="仿宋_GB2312"/>
          <w:b/>
          <w:kern w:val="2"/>
          <w:sz w:val="28"/>
          <w:szCs w:val="28"/>
        </w:rPr>
      </w:pPr>
    </w:p>
    <w:p>
      <w:pPr>
        <w:spacing w:after="0" w:line="240" w:lineRule="auto"/>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br w:type="page"/>
      </w:r>
    </w:p>
    <w:p>
      <w:pPr>
        <w:spacing w:after="0" w:line="240" w:lineRule="auto"/>
        <w:rPr>
          <w:rFonts w:ascii="仿宋_GB2312" w:hAnsi="仿宋_GB2312" w:eastAsia="仿宋_GB2312" w:cs="仿宋_GB2312"/>
          <w:b/>
          <w:kern w:val="2"/>
          <w:sz w:val="21"/>
          <w:szCs w:val="21"/>
        </w:rPr>
      </w:pPr>
    </w:p>
    <w:p>
      <w:pPr>
        <w:spacing w:after="160" w:line="259" w:lineRule="auto"/>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附表  资金归集（资金池或其他资金管理）账户具体信息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sz w:val="21"/>
                <w:szCs w:val="24"/>
                <w:lang w:val="en-GB"/>
              </w:rPr>
            </w:pPr>
            <w:r>
              <w:rPr>
                <w:rFonts w:hint="eastAsia" w:ascii="仿宋_GB2312" w:hAnsi="仿宋_GB2312" w:eastAsia="仿宋_GB2312" w:cs="仿宋_GB2312"/>
                <w:kern w:val="2"/>
                <w:sz w:val="21"/>
                <w:szCs w:val="24"/>
                <w:lang w:val="en-GB"/>
              </w:rPr>
              <w:t>序号</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资金提供机构名称(即拨入资金的具体机构)</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资金提供机构账号</w:t>
            </w: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资金使用机构名称(即向该具体机构拨出资金)</w:t>
            </w:r>
          </w:p>
        </w:tc>
        <w:tc>
          <w:tcPr>
            <w:tcW w:w="783"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资金使用机构账号</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币种</w:t>
            </w: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截至函证基准日拨入或拨出资金余额</w:t>
            </w:r>
            <w:r>
              <w:rPr>
                <w:rFonts w:hint="eastAsia" w:ascii="仿宋_GB2312" w:hAnsi="仿宋_GB2312" w:eastAsia="仿宋_GB2312" w:cs="仿宋_GB2312"/>
                <w:kern w:val="2"/>
                <w:sz w:val="21"/>
                <w:szCs w:val="24"/>
                <w:lang w:val="en-GB"/>
              </w:rPr>
              <w:br w:type="textWrapping"/>
            </w:r>
            <w:r>
              <w:rPr>
                <w:rFonts w:hint="eastAsia" w:ascii="仿宋_GB2312" w:hAnsi="仿宋_GB2312" w:eastAsia="仿宋_GB2312" w:cs="仿宋_GB2312"/>
                <w:kern w:val="2"/>
                <w:sz w:val="21"/>
                <w:szCs w:val="24"/>
                <w:lang w:val="en-GB"/>
              </w:rPr>
              <w:t>(拨出填列正数，拨入填列负数)</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宋体" w:hAnsi="宋体" w:eastAsia="宋体" w:cs="宋体"/>
                <w:kern w:val="2"/>
                <w:sz w:val="21"/>
                <w:szCs w:val="21"/>
                <w:lang w:val="en-GB"/>
              </w:rPr>
              <w:t>1</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举例：A公司</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仿宋_GB2312" w:hAnsi="仿宋_GB2312" w:eastAsia="仿宋_GB2312" w:cs="仿宋_GB2312"/>
                <w:kern w:val="2"/>
                <w:sz w:val="21"/>
                <w:szCs w:val="21"/>
                <w:lang w:val="en-GB"/>
              </w:rPr>
            </w:pP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c>
          <w:tcPr>
            <w:tcW w:w="2194" w:type="dxa"/>
          </w:tcPr>
          <w:p>
            <w:pPr>
              <w:widowControl w:val="0"/>
              <w:spacing w:after="0" w:line="360" w:lineRule="auto"/>
              <w:jc w:val="both"/>
              <w:rPr>
                <w:rFonts w:ascii="仿宋_GB2312" w:hAnsi="仿宋_GB2312" w:eastAsia="仿宋_GB2312" w:cs="仿宋_GB2312"/>
                <w:kern w:val="2"/>
                <w:sz w:val="21"/>
                <w:szCs w:val="21"/>
                <w:lang w:val="en-GB"/>
              </w:rPr>
            </w:pPr>
            <w:r>
              <w:rPr>
                <w:rFonts w:hint="eastAsia" w:ascii="仿宋_GB2312" w:hAnsi="仿宋_GB2312" w:eastAsia="仿宋_GB2312" w:cs="仿宋_GB2312"/>
                <w:kern w:val="2"/>
                <w:sz w:val="21"/>
                <w:szCs w:val="21"/>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宋体" w:hAnsi="宋体" w:eastAsia="宋体" w:cs="宋体"/>
                <w:kern w:val="2"/>
                <w:sz w:val="21"/>
                <w:szCs w:val="21"/>
                <w:lang w:val="en-GB"/>
              </w:rPr>
              <w:t>2</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举例：B公司</w:t>
            </w:r>
          </w:p>
        </w:tc>
        <w:tc>
          <w:tcPr>
            <w:tcW w:w="783" w:type="dxa"/>
          </w:tcPr>
          <w:p>
            <w:pPr>
              <w:widowControl w:val="0"/>
              <w:spacing w:after="0" w:line="360" w:lineRule="auto"/>
              <w:jc w:val="both"/>
              <w:rPr>
                <w:rFonts w:ascii="仿宋_GB2312" w:hAnsi="仿宋_GB2312" w:eastAsia="仿宋_GB2312" w:cs="仿宋_GB2312"/>
                <w:kern w:val="2"/>
                <w:sz w:val="21"/>
                <w:szCs w:val="21"/>
                <w:lang w:val="en-GB"/>
              </w:rPr>
            </w:pP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1"/>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783" w:type="dxa"/>
          </w:tcPr>
          <w:p>
            <w:pPr>
              <w:widowControl w:val="0"/>
              <w:spacing w:after="0" w:line="360" w:lineRule="auto"/>
              <w:jc w:val="both"/>
              <w:rPr>
                <w:rFonts w:ascii="仿宋_GB2312" w:hAnsi="仿宋_GB2312" w:eastAsia="仿宋_GB2312" w:cs="仿宋_GB2312"/>
                <w:kern w:val="2"/>
                <w:sz w:val="21"/>
                <w:szCs w:val="24"/>
                <w:lang w:val="en-GB"/>
              </w:rPr>
            </w:pP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p>
        </w:tc>
      </w:tr>
    </w:tbl>
    <w:p>
      <w:pPr>
        <w:widowControl w:val="0"/>
        <w:spacing w:after="160" w:line="360" w:lineRule="auto"/>
        <w:ind w:firstLine="420"/>
        <w:rPr>
          <w:rFonts w:ascii="仿宋_GB2312" w:hAnsi="仿宋_GB2312" w:eastAsia="仿宋_GB2312" w:cs="仿宋_GB2312"/>
          <w:b/>
          <w:kern w:val="2"/>
          <w:sz w:val="21"/>
          <w:szCs w:val="21"/>
        </w:rPr>
      </w:pP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（预留签章）</w:t>
      </w:r>
    </w:p>
    <w:p>
      <w:pPr>
        <w:widowControl w:val="0"/>
        <w:spacing w:after="160" w:line="360" w:lineRule="auto"/>
        <w:ind w:firstLine="422"/>
        <w:jc w:val="center"/>
        <w:rPr>
          <w:rFonts w:ascii="仿宋_GB2312" w:hAnsi="仿宋_GB2312" w:eastAsia="仿宋_GB2312" w:cs="仿宋_GB2312"/>
          <w:b/>
          <w:kern w:val="2"/>
          <w:sz w:val="21"/>
          <w:szCs w:val="21"/>
        </w:rPr>
      </w:pP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年    月    日</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经办人：</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职  务：</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电  话：      </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w:t>
      </w:r>
    </w:p>
    <w:p>
      <w:pPr>
        <w:spacing w:after="160" w:line="259" w:lineRule="auto"/>
        <w:jc w:val="both"/>
        <w:rPr>
          <w:rFonts w:hint="eastAsia"/>
          <w:b/>
          <w:bCs/>
        </w:rPr>
      </w:pPr>
      <w:r>
        <w:rPr>
          <w:rFonts w:hint="eastAsia"/>
          <w:b/>
          <w:bCs/>
          <w:lang w:eastAsia="zh-CN"/>
        </w:rPr>
        <w:t>附：</w:t>
      </w:r>
      <w:r>
        <w:rPr>
          <w:rFonts w:hint="eastAsia"/>
          <w:b/>
          <w:bCs/>
        </w:rPr>
        <w:t>银行询证函（格式一）适用说明</w:t>
      </w:r>
    </w:p>
    <w:p>
      <w:pPr>
        <w:spacing w:after="160" w:line="259" w:lineRule="auto"/>
        <w:rPr>
          <w:rFonts w:hint="eastAsia"/>
        </w:rPr>
      </w:pPr>
      <w:r>
        <w:rPr>
          <w:rFonts w:hint="eastAsia"/>
        </w:rPr>
        <w:t>1.注册会计师可根据被审计单位的具体情况以及审计的需要，确定银行询证函所列第1-14项及附表中需要函证的项目。对于注册会计师确定无需函证的项目或具体栏位，应当将该项目或具体栏位的表格用斜线划掉。对于注册会计师用斜线划掉的项目或栏位，</w:t>
      </w:r>
      <w:r>
        <w:rPr>
          <w:rFonts w:hint="eastAsia"/>
          <w:lang w:eastAsia="zh-CN"/>
        </w:rPr>
        <w:t>营业机构</w:t>
      </w:r>
      <w:r>
        <w:rPr>
          <w:rFonts w:hint="eastAsia"/>
        </w:rPr>
        <w:t>无需核实相关信息且不需要反馈。</w:t>
      </w:r>
    </w:p>
    <w:p>
      <w:pPr>
        <w:spacing w:after="160" w:line="259" w:lineRule="auto"/>
        <w:rPr>
          <w:rFonts w:hint="eastAsia"/>
        </w:rPr>
      </w:pPr>
      <w:r>
        <w:rPr>
          <w:rFonts w:hint="eastAsia"/>
        </w:rPr>
        <w:t>2.第1-14项及附表中，如果被审计单位的文件记录或管理层提供的信息中显示其与</w:t>
      </w:r>
      <w:r>
        <w:rPr>
          <w:rFonts w:hint="eastAsia"/>
          <w:lang w:eastAsia="zh-CN"/>
        </w:rPr>
        <w:t>营业机构</w:t>
      </w:r>
      <w:r>
        <w:rPr>
          <w:rFonts w:hint="eastAsia"/>
        </w:rPr>
        <w:t>之间没有此等交易或余额，但注册会计师认为需要就此获得</w:t>
      </w:r>
      <w:r>
        <w:rPr>
          <w:rFonts w:hint="eastAsia"/>
          <w:lang w:eastAsia="zh-CN"/>
        </w:rPr>
        <w:t>营业机构</w:t>
      </w:r>
      <w:r>
        <w:rPr>
          <w:rFonts w:hint="eastAsia"/>
        </w:rPr>
        <w:t>确认时，注册会计师应在每个对应栏目内填写“无”，</w:t>
      </w:r>
      <w:r>
        <w:rPr>
          <w:rFonts w:hint="eastAsia"/>
          <w:lang w:eastAsia="zh-CN"/>
        </w:rPr>
        <w:t>营业机构</w:t>
      </w:r>
      <w:r>
        <w:rPr>
          <w:rFonts w:hint="eastAsia"/>
        </w:rPr>
        <w:t>应当对填写“无”的信息予以核实并反馈。如</w:t>
      </w:r>
      <w:r>
        <w:rPr>
          <w:rFonts w:hint="eastAsia"/>
          <w:lang w:eastAsia="zh-CN"/>
        </w:rPr>
        <w:t>营业机构</w:t>
      </w:r>
      <w:r>
        <w:rPr>
          <w:rFonts w:hint="eastAsia"/>
        </w:rPr>
        <w:t>发现被审计单位存在交易或余额，而相关项目被列示为“无”，应明确回复不符并在回函“结论”处，向注册会计师对不符项目涉及的内容、金额等进行说明。</w:t>
      </w:r>
    </w:p>
    <w:p>
      <w:pPr>
        <w:spacing w:after="160" w:line="259" w:lineRule="auto"/>
        <w:rPr>
          <w:rFonts w:hint="eastAsia"/>
        </w:rPr>
      </w:pPr>
      <w:r>
        <w:rPr>
          <w:rFonts w:hint="eastAsia"/>
        </w:rPr>
        <w:t>3.注册会计师应当对银行询证函中列示的1-14项信息及附表按照实际情况及上述第1条和第2条的要求填写相应信息，不应留白；如</w:t>
      </w:r>
      <w:r>
        <w:rPr>
          <w:rFonts w:hint="eastAsia"/>
          <w:lang w:eastAsia="zh-CN"/>
        </w:rPr>
        <w:t>营业机构</w:t>
      </w:r>
      <w:r>
        <w:rPr>
          <w:rFonts w:hint="eastAsia"/>
        </w:rPr>
        <w:t>收到存在空白内容的询证函，应通知注册会计师进行修改后重新发送；针对“备注”栏，如不存在按照本指引无需在其中列示说明的信息，也不存在注册会计师或被审计单位认为需要备注说明的信息，则应当填写“无”。</w:t>
      </w:r>
    </w:p>
    <w:p>
      <w:pPr>
        <w:spacing w:after="160" w:line="259" w:lineRule="auto"/>
        <w:rPr>
          <w:rFonts w:hint="eastAsia"/>
        </w:rPr>
      </w:pPr>
      <w:r>
        <w:rPr>
          <w:rFonts w:hint="eastAsia"/>
        </w:rPr>
        <w:t>4.银行询证函所列示的1-14项及附表信息应当按照银行询证函收件人（</w:t>
      </w:r>
      <w:r>
        <w:rPr>
          <w:rFonts w:hint="eastAsia"/>
          <w:lang w:eastAsia="zh-CN"/>
        </w:rPr>
        <w:t>营业机构</w:t>
      </w:r>
      <w:r>
        <w:rPr>
          <w:rFonts w:hint="eastAsia"/>
        </w:rPr>
        <w:t>），即询证函格式中定义的“贵行”所代表的总分支机构主体范围进行回函，注册会计师可以根据实际情况进行修改或说明。如经</w:t>
      </w:r>
      <w:r>
        <w:rPr>
          <w:rFonts w:hint="eastAsia"/>
          <w:lang w:eastAsia="zh-CN"/>
        </w:rPr>
        <w:t>营业机构</w:t>
      </w:r>
      <w:r>
        <w:rPr>
          <w:rFonts w:hint="eastAsia"/>
        </w:rPr>
        <w:t>核对，存在不符之处，</w:t>
      </w:r>
      <w:r>
        <w:rPr>
          <w:rFonts w:hint="eastAsia"/>
          <w:lang w:eastAsia="zh-CN"/>
        </w:rPr>
        <w:t>营业机构</w:t>
      </w:r>
      <w:r>
        <w:rPr>
          <w:rFonts w:hint="eastAsia"/>
        </w:rPr>
        <w:t>应当于“经本行核对，存在以下不符之处”栏中写明“询证函信息存在不符”并在栏中填写相关不符信息或另附附件进一步提供具体的不符信息内容，不应将不符信息内容填写在银行询证函1-14项及附表信息中。同时，当存在不符之处时，</w:t>
      </w:r>
      <w:r>
        <w:rPr>
          <w:rFonts w:hint="eastAsia"/>
          <w:lang w:eastAsia="zh-CN"/>
        </w:rPr>
        <w:t>营业机构</w:t>
      </w:r>
      <w:r>
        <w:rPr>
          <w:rFonts w:hint="eastAsia"/>
        </w:rPr>
        <w:t>应当直接在银行询证函结论处填写不符之处相关的具体信息，而不应要求注册会计师按照相符信息重新填写后再次发函。对于</w:t>
      </w:r>
      <w:r>
        <w:rPr>
          <w:rFonts w:hint="eastAsia"/>
          <w:lang w:eastAsia="zh-CN"/>
        </w:rPr>
        <w:t>营业机构</w:t>
      </w:r>
      <w:r>
        <w:rPr>
          <w:rFonts w:hint="eastAsia"/>
        </w:rPr>
        <w:t>以自有格式询证函回复的情况，按照下述第5条执行。</w:t>
      </w:r>
    </w:p>
    <w:p>
      <w:pPr>
        <w:spacing w:after="160" w:line="259" w:lineRule="auto"/>
        <w:rPr>
          <w:rFonts w:hint="eastAsia"/>
        </w:rPr>
      </w:pPr>
      <w:r>
        <w:rPr>
          <w:rFonts w:hint="eastAsia"/>
        </w:rPr>
        <w:t>5.</w:t>
      </w:r>
      <w:r>
        <w:rPr>
          <w:rFonts w:hint="eastAsia"/>
          <w:lang w:eastAsia="zh-CN"/>
        </w:rPr>
        <w:t>营业机构</w:t>
      </w:r>
      <w:r>
        <w:rPr>
          <w:rFonts w:hint="eastAsia"/>
        </w:rPr>
        <w:t>如选择采用本机构系统自动生成的与银行询证函内容相关的报告或其他形式的</w:t>
      </w:r>
      <w:r>
        <w:rPr>
          <w:rFonts w:hint="eastAsia"/>
          <w:lang w:eastAsia="zh-CN"/>
        </w:rPr>
        <w:t>营业机构</w:t>
      </w:r>
      <w:r>
        <w:rPr>
          <w:rFonts w:hint="eastAsia"/>
        </w:rPr>
        <w:t>自有格式回函，或以数字函证方式进行回复的，应当对银行询证函所列示的1-14项及附表涉及的全部信息作出回应，银行询证函内无需函证项目（即被注册会计师用斜线划掉的项目）除外。</w:t>
      </w:r>
    </w:p>
    <w:p>
      <w:pPr>
        <w:spacing w:after="160" w:line="259" w:lineRule="auto"/>
        <w:rPr>
          <w:rFonts w:hint="eastAsia"/>
        </w:rPr>
      </w:pPr>
      <w:r>
        <w:rPr>
          <w:rFonts w:hint="eastAsia"/>
        </w:rPr>
        <w:t>6.如果采用纸质银行询证函进行函证，银行询证函应当由被审计单位加盖骑缝章，建议将被审计单位预留银行签章处加盖的签章用作骑缝章。如果采用数字函证方式，则不做强制要求。</w:t>
      </w:r>
    </w:p>
    <w:p>
      <w:pPr>
        <w:spacing w:after="160" w:line="259" w:lineRule="auto"/>
        <w:rPr>
          <w:rFonts w:hint="eastAsia"/>
        </w:rPr>
      </w:pPr>
      <w:r>
        <w:rPr>
          <w:rFonts w:hint="eastAsia"/>
        </w:rPr>
        <w:t>7.对于按照</w:t>
      </w:r>
      <w:r>
        <w:rPr>
          <w:rFonts w:hint="eastAsia"/>
          <w:lang w:eastAsia="zh-CN"/>
        </w:rPr>
        <w:t>营业机构</w:t>
      </w:r>
      <w:r>
        <w:rPr>
          <w:rFonts w:hint="eastAsia"/>
        </w:rPr>
        <w:t>受理要求进行的现场函证（跟函），</w:t>
      </w:r>
      <w:r>
        <w:rPr>
          <w:rFonts w:hint="eastAsia"/>
          <w:lang w:eastAsia="zh-CN"/>
        </w:rPr>
        <w:t>营业机构</w:t>
      </w:r>
      <w:r>
        <w:rPr>
          <w:rFonts w:hint="eastAsia"/>
        </w:rPr>
        <w:t>可以现场办理后直接交付给会计师事务所经办人员，或在办理后直接邮寄至银行询证函中指定的会计师事务所收件人。</w:t>
      </w:r>
    </w:p>
    <w:p>
      <w:pPr>
        <w:spacing w:after="160" w:line="259" w:lineRule="auto"/>
      </w:pPr>
      <w:r>
        <w:rPr>
          <w:rFonts w:hint="eastAsia"/>
        </w:rPr>
        <w:t>8.如果银行询证函中的银行填列部分空白处不足，</w:t>
      </w:r>
      <w:r>
        <w:rPr>
          <w:rFonts w:hint="eastAsia"/>
          <w:lang w:eastAsia="zh-CN"/>
        </w:rPr>
        <w:t>营业机构</w:t>
      </w:r>
      <w:r>
        <w:rPr>
          <w:rFonts w:hint="eastAsia"/>
        </w:rPr>
        <w:t>可另行添加附页列示相关信息，并在附页上签字和盖章或签发电子签名。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pacing w:after="0"/>
        <w:rPr>
          <w:rFonts w:ascii="宋体" w:hAnsi="宋体"/>
        </w:rPr>
      </w:pPr>
      <w:r>
        <w:rPr>
          <w:rStyle w:val="5"/>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
    <w:p>
      <w:pPr>
        <w:pStyle w:val="3"/>
        <w:spacing w:after="0"/>
        <w:rPr>
          <w:rFonts w:ascii="宋体" w:hAnsi="宋体"/>
          <w:lang w:val="en-GB"/>
        </w:rPr>
      </w:pPr>
      <w:r>
        <w:rPr>
          <w:rStyle w:val="5"/>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2">
    <w:p>
      <w:pPr>
        <w:pStyle w:val="3"/>
        <w:spacing w:after="0"/>
        <w:rPr>
          <w:rFonts w:eastAsiaTheme="minorEastAsia"/>
          <w:lang w:val="en-GB"/>
        </w:rPr>
      </w:pPr>
      <w:r>
        <w:rPr>
          <w:rStyle w:val="5"/>
          <w:rFonts w:ascii="宋体" w:hAnsi="宋体"/>
        </w:rPr>
        <w:footnoteRef/>
      </w:r>
      <w:r>
        <w:rPr>
          <w:rFonts w:hint="eastAsia" w:ascii="宋体" w:hAnsi="宋体"/>
        </w:rPr>
        <w:t>“回函地址、联系人、电话、传真、邮编、电子邮箱”等要素应完整、准确填写。</w:t>
      </w:r>
    </w:p>
  </w:footnote>
  <w:footnote w:id="3">
    <w:p>
      <w:pPr>
        <w:pStyle w:val="3"/>
      </w:pPr>
      <w:r>
        <w:rPr>
          <w:rStyle w:val="5"/>
          <w:rFonts w:ascii="宋体" w:hAnsi="宋体"/>
        </w:rPr>
        <w:footnoteRef/>
      </w:r>
      <w:r>
        <w:rPr>
          <w:rFonts w:ascii="宋体" w:hAnsi="宋体"/>
        </w:rPr>
        <w:t xml:space="preserve"> </w:t>
      </w:r>
      <w:r>
        <w:rPr>
          <w:rFonts w:hint="eastAsia"/>
        </w:rPr>
        <w:t>本询证函所列示的</w:t>
      </w:r>
      <w:r>
        <w:rPr>
          <w:rFonts w:hint="eastAsia" w:ascii="宋体" w:hAnsi="宋体" w:cs="宋体"/>
        </w:rPr>
        <w:t>1-14</w:t>
      </w:r>
      <w:r>
        <w:rPr>
          <w:rFonts w:hint="eastAsia"/>
        </w:rPr>
        <w:t>项及附表（如适用）信息，以银行印章所代表的总分支机构主体范围进行回函。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35"/>
    <w:rsid w:val="00292435"/>
    <w:rsid w:val="22B57CED"/>
    <w:rsid w:val="58AC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9"/>
    <w:pPr>
      <w:spacing w:before="480" w:after="0"/>
      <w:contextualSpacing/>
      <w:outlineLvl w:val="0"/>
    </w:pPr>
    <w:rPr>
      <w:rFonts w:asciiTheme="majorHAnsi" w:hAnsiTheme="majorHAnsi" w:eastAsiaTheme="majorEastAsia" w:cstheme="majorBidi"/>
      <w:b/>
      <w:bCs/>
      <w:sz w:val="28"/>
      <w:szCs w:val="2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note text"/>
    <w:basedOn w:val="1"/>
    <w:unhideWhenUsed/>
    <w:qFormat/>
    <w:uiPriority w:val="99"/>
    <w:pPr>
      <w:widowControl w:val="0"/>
      <w:snapToGrid w:val="0"/>
      <w:spacing w:after="160" w:line="259" w:lineRule="auto"/>
    </w:pPr>
    <w:rPr>
      <w:rFonts w:ascii="Calibri" w:hAnsi="Calibri" w:eastAsia="宋体" w:cs="Times New Roman"/>
      <w:kern w:val="2"/>
      <w:sz w:val="18"/>
      <w:szCs w:val="18"/>
    </w:rPr>
  </w:style>
  <w:style w:type="character" w:styleId="5">
    <w:name w:val="footnote reference"/>
    <w:basedOn w:val="4"/>
    <w:unhideWhenUsed/>
    <w:qFormat/>
    <w:uiPriority w:val="99"/>
    <w:rPr>
      <w:vertAlign w:val="superscript"/>
    </w:rPr>
  </w:style>
  <w:style w:type="table" w:customStyle="1" w:styleId="7">
    <w:name w:val="网格型1"/>
    <w:basedOn w:val="6"/>
    <w:qFormat/>
    <w:uiPriority w:val="39"/>
    <w:pPr>
      <w:spacing w:after="160" w:line="259" w:lineRule="auto"/>
    </w:pPr>
    <w:rPr>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cid:_Foxmail.1@752c7e8a-18e1-276e-cd8c-a99c1141dafc" TargetMode="Externa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2021-01-18T03:27:00Z</dcterms:created>
  <dc:creator>王思琪</dc:creator>
  <cp:lastModifiedBy>王思琪</cp:lastModifiedBy>
  <dcterms:modified xsi:type="dcterms:W3CDTF">2021-01-19T07:05:31Z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